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2                      201</w:t>
      </w:r>
      <w:r>
        <w:rPr>
          <w:rFonts w:hint="eastAsia"/>
          <w:b/>
          <w:sz w:val="28"/>
          <w:szCs w:val="28"/>
          <w:lang w:val="en-US" w:eastAsia="zh-CN"/>
        </w:rPr>
        <w:t>9</w:t>
      </w:r>
      <w:r>
        <w:rPr>
          <w:rFonts w:hint="eastAsia"/>
          <w:b/>
          <w:sz w:val="28"/>
          <w:szCs w:val="28"/>
        </w:rPr>
        <w:t>级普教本科生学业指导主要内容一览表</w:t>
      </w:r>
    </w:p>
    <w:tbl>
      <w:tblPr>
        <w:tblStyle w:val="4"/>
        <w:tblW w:w="13425" w:type="dxa"/>
        <w:tblInd w:w="4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851"/>
        <w:gridCol w:w="1559"/>
        <w:gridCol w:w="2552"/>
        <w:gridCol w:w="7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tblHeader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1" w:firstLineChars="1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培训依据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723" w:firstLineChars="3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基本内容</w:t>
            </w: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012" w:firstLineChars="835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特别说明和注意事项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人才培养方案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《201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版本科人才培养方案》（可在教务处网页下载）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1.修读要求</w:t>
            </w:r>
          </w:p>
          <w:p>
            <w:pP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2.课程体系架构</w:t>
            </w:r>
          </w:p>
          <w:p>
            <w:pPr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3.开课方式（按设置学期开课、按学期滚动开课、按学年滚动开课）</w:t>
            </w: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3" w:lineRule="atLeast"/>
              <w:ind w:left="0" w:right="0" w:firstLine="0"/>
              <w:textAlignment w:val="baseline"/>
              <w:rPr>
                <w:rFonts w:ascii="微软雅黑" w:hAnsi="微软雅黑" w:eastAsia="微软雅黑" w:cs="微软雅黑"/>
                <w:i w:val="0"/>
                <w:caps w:val="0"/>
                <w:color w:val="302C30"/>
                <w:spacing w:val="0"/>
                <w:sz w:val="22"/>
                <w:szCs w:val="22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1</w:t>
            </w:r>
            <w:r>
              <w:rPr>
                <w:rFonts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.</w:t>
            </w: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 学生应按培养方案规定的学分要求、参照建议修读学期修读各模块课程。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3" w:lineRule="atLeast"/>
              <w:ind w:left="0" w:right="0" w:firstLine="0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02C30"/>
                <w:spacing w:val="0"/>
                <w:sz w:val="22"/>
                <w:szCs w:val="22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2.学生要了解通识选修课修读要求，并定期按照《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2"/>
                <w:szCs w:val="22"/>
                <w:u w:val="none"/>
                <w:shd w:val="clear" w:fill="FFFFFF"/>
                <w:vertAlign w:val="baseline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2"/>
                <w:szCs w:val="22"/>
                <w:u w:val="none"/>
                <w:shd w:val="clear" w:fill="FFFFFF"/>
                <w:vertAlign w:val="baseline"/>
              </w:rPr>
              <w:instrText xml:space="preserve"> HYPERLINK "http://jwc.gdufe.edu.cn/_upload/article/files/48/7a/9ca5abe7471e9913f6022f58dc47/c75efbb7-a4d2-4202-bc61-4779e760d64d.pdf" </w:instrTex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2"/>
                <w:szCs w:val="22"/>
                <w:u w:val="none"/>
                <w:shd w:val="clear" w:fill="FFFFFF"/>
                <w:vertAlign w:val="baseline"/>
              </w:rPr>
              <w:fldChar w:fldCharType="separate"/>
            </w:r>
            <w:r>
              <w:rPr>
                <w:rStyle w:val="6"/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u w:val="none"/>
                <w:shd w:val="clear" w:fill="FFFFFF"/>
                <w:vertAlign w:val="baseline"/>
              </w:rPr>
              <w:t>广东财经大学201</w:t>
            </w:r>
            <w:r>
              <w:rPr>
                <w:rStyle w:val="6"/>
                <w:rFonts w:hint="eastAsia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9</w:t>
            </w:r>
            <w:r>
              <w:rPr>
                <w:rStyle w:val="6"/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u w:val="none"/>
                <w:shd w:val="clear" w:fill="FFFFFF"/>
                <w:vertAlign w:val="baseline"/>
              </w:rPr>
              <w:t>版通识选修课程设置一览表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2"/>
                <w:szCs w:val="22"/>
                <w:u w:val="none"/>
                <w:shd w:val="clear" w:fill="FFFFFF"/>
                <w:vertAlign w:val="baseline"/>
              </w:rPr>
              <w:fldChar w:fldCharType="end"/>
            </w: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》检查各模块已修学分情况。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3" w:lineRule="atLeast"/>
              <w:ind w:left="0" w:right="0" w:firstLine="0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02C30"/>
                <w:spacing w:val="0"/>
                <w:sz w:val="22"/>
                <w:szCs w:val="22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3.学生要定期计算已修学分（总学分及各模块学分），对照毕业要求制定选课计划，确保如期完成学业。</w:t>
            </w:r>
          </w:p>
          <w:p>
            <w:pPr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学生修读课程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《广东财经大学普教本科课程修读管理规定》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1.课程。必修课、选修课、辅修专业课程；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2.课程修读。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3.选课，选课的程序，选课规则，选课学分限制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4.免听。免听的条件、免听办理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5.免修与课程替代。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6.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学分认定与转换。</w:t>
            </w: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1.补考。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初次修读的课程考核不合格，必修课程须参加补考；选修课程考核不合格的可参加补考，也可选择重修该门课程或另选其他选修课程；跨专业综合实验课程（《ERP软件II》、《企业行为模拟》和《校内仿真综合实习》）和不安排期末考试环节的课程不安排补考须直接重修。</w:t>
            </w:r>
          </w:p>
          <w:p>
            <w:pPr>
              <w:rPr>
                <w:rFonts w:hint="eastAsia" w:ascii="仿宋_GB2312" w:hAnsi="仿宋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2.重修。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重修课程考核不合格的不再安排补考，可再次重修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eastAsia="zh-CN"/>
              </w:rPr>
              <w:t>。</w:t>
            </w:r>
          </w:p>
          <w:p>
            <w:pP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主修选课和辅修选课同时进行选课，每学期合计不超过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个学分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含形势与政策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。</w:t>
            </w:r>
          </w:p>
          <w:p>
            <w:pP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4.前一个学期考核不合格课程达到或超过6个学分的，当学期选课不允许超过20个学分。</w:t>
            </w:r>
          </w:p>
          <w:p>
            <w:pP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5.有先修后修关系的课程，学生原则上应按先修后修关系循序选课。</w:t>
            </w:r>
          </w:p>
          <w:p>
            <w:pP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6.免听申请时间为：每学期第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4-6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周。</w:t>
            </w:r>
          </w:p>
          <w:p>
            <w:pP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7.免听限制：综合运用类课程、初次修读的必修课程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跨校区修课的课程除外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和任课教师认为不宜免听的课程，不得免听；一个学期免听的课程累计不得超过3门</w:t>
            </w:r>
          </w:p>
          <w:p>
            <w:pP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8.获准免听的课程考核，有期末考试环节的，以期末考试成绩核定总评成绩（不计平时考核成绩）；无期末考试环节的，由任课教师制定考核方案，经课程所在单位审核同意后执行。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9.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事先替代申请办理时间在每学期选课期间；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免修、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事后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课程替代申请办理时间为13-14周。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选课规则</w:t>
            </w:r>
          </w:p>
          <w:p>
            <w:pPr>
              <w:widowControl/>
              <w:spacing w:after="200" w:line="3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《广东财经大学普教本科选课规则》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1.总则。选课资格的获取、选课轮次设置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2.选课学分和门数。学分限制、门数限制。</w:t>
            </w:r>
          </w:p>
          <w:p>
            <w:pP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3.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优先级设置。修读优先级、志愿优先级、筛选</w:t>
            </w:r>
          </w:p>
          <w:p>
            <w:pP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4. 第一轮选课。选课对象、选课规定、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筛选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5.附则。2016年学生与2013-2015级学生选课要求</w:t>
            </w: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1.选课资格的获取：缴费、注册、学生网上评教。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2.学分限制。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3.门数限制。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《思想道德修养与法律基础》、《马克思主义基本原理》、《毛泽东思想和中国特色社会主义理论体系概论I》、《毛泽东思想和中国特色社会主义理论体系概论II》和《中国近现代史纲要》5门课程（简称思政5门课程）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每个学期开课总学位数为学生人数的5/6（即每个学期有1/6选不到此5门课程），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一、二年级每学期选课</w:t>
            </w:r>
            <w:r>
              <w:rPr>
                <w:rFonts w:hint="eastAsia" w:ascii="仿宋_GB2312" w:eastAsia="仿宋_GB2312"/>
                <w:sz w:val="24"/>
                <w:szCs w:val="24"/>
              </w:rPr>
              <w:t>上限为1门，学生须合理选课，否则容易导致某学期选不上思政课。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4. 第一、二轮选课设置筛选优先级，第三轮所有课程选课均不设置优先级。学生应熟悉每一轮的选课规则和筛选规则。</w:t>
            </w:r>
          </w:p>
          <w:p>
            <w:pPr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5.修读优先级是：按建议修读学期主修选课的学生&gt;按建议修读学期辅修选课或高年级重修选课的学生&gt;其他学生。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指导学生按建议修读学期选课。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6.志愿优先级是：第1志愿&gt;第2志愿&gt;第3志愿。每门课程选课时可填报三个志愿（即三个教学班），指导学生填报选课志愿时，要冷热结合，避免都选热门教学班，导致无法选到按建议修读学期的课程。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7.第一轮选课注意事项：（1）本轮不接受学生跨学科、跨专业选课;（2）本轮选课结束后，学校将根据学生选课需求、教师意愿和教</w:t>
            </w: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室资源状况决定是否增加教学班容量</w:t>
            </w:r>
            <w:r>
              <w:rPr>
                <w:rFonts w:hint="eastAsia" w:ascii="仿宋_GB2312" w:eastAsia="仿宋_GB2312"/>
                <w:sz w:val="24"/>
                <w:szCs w:val="24"/>
              </w:rPr>
              <w:t>;（</w:t>
            </w: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3）</w:t>
            </w:r>
            <w:r>
              <w:rPr>
                <w:rFonts w:hint="eastAsia" w:ascii="仿宋_GB2312" w:eastAsia="仿宋_GB2312"/>
                <w:b/>
                <w:spacing w:val="-10"/>
                <w:sz w:val="24"/>
                <w:szCs w:val="24"/>
              </w:rPr>
              <w:t>本轮选课不限容量，</w:t>
            </w: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当某一教学班</w:t>
            </w:r>
            <w:r>
              <w:rPr>
                <w:rFonts w:hint="eastAsia" w:ascii="仿宋_GB2312" w:eastAsia="仿宋_GB2312"/>
                <w:sz w:val="24"/>
                <w:szCs w:val="24"/>
              </w:rPr>
              <w:t>选课人数超过教学班容量时，按选课规则中的原则进行筛选。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8.第二轮选课注意事项：（1）选课对象为所有学生;（2）本轮选课仅限于第一轮筛选后仍有余量的教学班;（3）本轮选课不再增加教学班容量;（4）本轮选课不限容量，当某一教学班选课人数超过教学班余量时，按选课规则规定的原则进行筛选;（5）本轮选课结束后，选课人数未达到开班人数的教学班将被关班。</w:t>
            </w:r>
          </w:p>
          <w:p>
            <w:pPr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9.第三轮选课注意事项：（1）本轮选课先选先得;（2）每学期第一、第二周为试听周，学生可以根据试听情况自行调整选课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考试管 理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《广东财经大学普教本科课程考核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管理规定（试行）》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1.考试资格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2.缓考办理条件及程序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3.补考与重修</w:t>
            </w: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3" w:lineRule="atLeast"/>
              <w:ind w:left="0" w:right="0" w:firstLine="0"/>
              <w:jc w:val="left"/>
              <w:textAlignment w:val="baseline"/>
              <w:rPr>
                <w:rFonts w:ascii="微软雅黑" w:hAnsi="微软雅黑" w:eastAsia="微软雅黑" w:cs="微软雅黑"/>
                <w:i w:val="0"/>
                <w:caps w:val="0"/>
                <w:color w:val="302C30"/>
                <w:spacing w:val="0"/>
                <w:sz w:val="22"/>
                <w:szCs w:val="22"/>
              </w:rPr>
            </w:pPr>
            <w:r>
              <w:rPr>
                <w:rFonts w:ascii="仿宋" w:hAnsi="仿宋" w:eastAsia="仿宋" w:cs="仿宋"/>
                <w:i w:val="0"/>
                <w:caps w:val="0"/>
                <w:color w:val="302C30"/>
                <w:spacing w:val="0"/>
                <w:sz w:val="24"/>
                <w:szCs w:val="24"/>
                <w:shd w:val="clear" w:fill="FFFFFF"/>
                <w:vertAlign w:val="baseline"/>
              </w:rPr>
              <w:t>1.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02C30"/>
                <w:spacing w:val="0"/>
                <w:sz w:val="24"/>
                <w:szCs w:val="24"/>
                <w:shd w:val="clear" w:fill="FFFFFF"/>
                <w:vertAlign w:val="baseline"/>
              </w:rPr>
              <w:t> 考试资格。获得修读资格、出勤和完成作业情况达到规定要求的学生，均可参加课程考试。缺课超过总学时1/3（含1/3）或缺交作业超过1/3（含1/3）者，取消该门课程考试资格，获准免听的课程除外。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3" w:lineRule="atLeast"/>
              <w:ind w:left="0" w:righ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02C30"/>
                <w:spacing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02C30"/>
                <w:spacing w:val="0"/>
                <w:sz w:val="24"/>
                <w:szCs w:val="24"/>
                <w:shd w:val="clear" w:fill="FFFFFF"/>
                <w:vertAlign w:val="baseline"/>
              </w:rPr>
              <w:t>2. 缓考办理条件及程序。学生因考试时间冲突、生病等原因不能参加期末考试的，可申请缓考。补考和已获准缓考的课程原则上不得再申请缓考。学生须在考前提交《广东财经大学普教本科课程缓考申请表》（附件4），经任课教师和学生所在学院审核同意后准予缓考。如因突发情况无法提前申请，必须在考后2日内提交申请，逾期不再受理。缓考学生在次学期补考时间参加考试。缓考不及格的，不再安排补考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3" w:lineRule="atLeast"/>
              <w:ind w:left="0" w:righ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02C30"/>
                <w:spacing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02C30"/>
                <w:spacing w:val="0"/>
                <w:sz w:val="24"/>
                <w:szCs w:val="24"/>
                <w:shd w:val="clear" w:fill="FFFFFF"/>
                <w:vertAlign w:val="baseline"/>
              </w:rPr>
              <w:t>3.补考与重修。初次修读的课程考试不合格，必修课程必须参加补考，补考仍不及格的课程，可在次学期或以后学期重修；但按规定只能重修的必修课程，学生只能重修，比如，跨专业综合实验课程（《ERP软件II》、《企业行为模拟》和《校内仿真综合实习》）和不安排期末考试环节的课程不安排补考须直接重修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3" w:lineRule="atLeast"/>
              <w:ind w:left="0" w:righ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02C30"/>
                <w:spacing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02C30"/>
                <w:spacing w:val="0"/>
                <w:sz w:val="24"/>
                <w:szCs w:val="24"/>
                <w:shd w:val="clear" w:fill="FFFFFF"/>
                <w:vertAlign w:val="baseline"/>
              </w:rPr>
              <w:t>选修课程考试不合格的可参加补考，也可选择重修该门课程或另选其他选修课程。 重修课程考试不合格的不再安排补考，可再次重修。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3" w:lineRule="atLeast"/>
              <w:ind w:left="0" w:righ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02C30"/>
                <w:spacing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02C30"/>
                <w:spacing w:val="0"/>
                <w:sz w:val="24"/>
                <w:szCs w:val="24"/>
                <w:shd w:val="clear" w:fill="FFFFFF"/>
                <w:vertAlign w:val="baseline"/>
              </w:rPr>
              <w:t>注：2015级学生在标准学制内只有一次重修机会。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33" w:lineRule="atLeast"/>
              <w:ind w:left="0" w:righ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i w:val="0"/>
                <w:caps w:val="0"/>
                <w:color w:val="302C30"/>
                <w:spacing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02C30"/>
                <w:spacing w:val="0"/>
                <w:sz w:val="24"/>
                <w:szCs w:val="24"/>
                <w:shd w:val="clear" w:fill="FFFFFF"/>
                <w:vertAlign w:val="baseline"/>
              </w:rPr>
              <w:t>补（缓）考总评成绩由平时成绩和考试卷面成绩构成。补考、重修课程按实际成绩折算绩点，但在相应成绩记载栏中作补考、重修标识。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学籍管 理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《广东财经大学普教本科生学籍管理规定（试行）》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1.注册</w:t>
            </w: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每学期开学时，应办理注册手续，不能如期注册者，应办理暂缓注册手续。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2.学制、学习年限</w:t>
            </w: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在校基本学习年限为4学年，在基本学习年限内未能达到毕业要求者，可继续在校学习，最长为7学年，超过此年限者，不予注册。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3.辅修</w:t>
            </w: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1.辅修以自愿为原则,在第二学期提出申请，第三学期开始修读，辅修选课与主修选课同时进行。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2.修满辅修专业人才培养方案规定的45学分，达到授予辅修专业学士学位条件者，授予辅修专业学士学位；修满辅修专业人才培养方案规定的30学分，达到颁发辅修专业证书者，颁发辅修专业证书。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4.转专业</w:t>
            </w: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具备以下条件之一者，可以申请调转专业：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1.确有拟转入专业的特长和兴趣，转专业更能发挥其专长；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2.有某种疾病或生理缺陷（不含隐瞒既往病史入学者），经校门诊部检查证明确属不宜在原专业学习，但尚能在拟转入专业学习者；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3第一学年累计平均学分绩点在同年级、同专业排名前40%者；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4.通过实验区遴选且需要转专业者；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5.大学生士兵退役复学或入学者。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有下列情形之一者，不允许调转专业：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1.招生时已有明确规定不能转专业的学生，含定向生和国防生等；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2.招生时有特殊要求的提前批次录取学生；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3.已修满人才培养方案规定总学分的三分之二及以上的学生；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4休学、保留学籍等学籍状况异常的学生；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5.已调转过一次专业的学生原则上不得再次调转专业；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6.高考低分录取专业的学生原则上不得转入高考高分录取专业（实验区遴选和专业二次调整等除外）。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5.休学、复学</w:t>
            </w: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1.有下列情形之一者，应予休学：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（1）经二级甲等及以上医院或校门诊部诊断，因病需停课，时间超过六周（含六周）的；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（2）一学期累计缺课达到该学期总学时三分之一的；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（3）学生怀孕、生育，暂时不适宜继续在校学习、生活的；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（4）经学校批准休学创业的；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（5）因其他特殊原因，学生本人申请或学校认为必须休学的。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 休学时间以学期为单位，累计不得超过三学年。休学办理时间为每学期第1-2周和第17-18周，因病休学等特殊情况除外.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3.休学期满，应在学期开学注册时持休学通知书申请复学。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6.退学</w:t>
            </w: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有下列情形之一者，应予退学：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1.不论何种原因，在学校规定的学习年限内未完成学业的；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2.休学期满，在学校规定期限内未提出复学申请或申请复学经复查不合格的； 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3.经学校指定医院诊断，患有疾病或意外伤残无法继续在校学习的； 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4.未请假离校连续两周未参加学校规定的教学活动的； 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5.超过学校规定期限未注册而又无正当事由的；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6本人申请退学的。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7.毕业、结业与肆业</w:t>
            </w: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1.每学期开展一次毕业审核和学位授予工作。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2.要求毕业者，应在毕业当学期提出申请。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3在学校规定的学习年限内修完人才培养方案规定的全部课程，修满规定的学分，考核结果达到毕业要求，经所在学院审核和学校批准，颁发毕业证书。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4．要求结业者，应提出申请，申请时要求已获学分和在修学分合计应达到应修总学分的80%。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5.学生在学校规定的学习年限内，修完人才培养方案规定内容，未达到毕业要求，但已获得总学分达到人才培养方案规定应修总学分的80%，由学校颁发结业证书。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6. 学生学习一年以上（含一年），未达到结业要求，可申请肄业，经批准颁发肄业证书。退学的学生，学习时间满一年以上者（含一年），经申请可办理肄业证书；。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8.学位</w:t>
            </w: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获准毕业的学生符合学位授予条件，授予学士学位。毕业不授予，毕业后一律不授予。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学生成 绩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《广东财经大学普教本科生学籍管理规定（试行）》、《广东财经大学普教本科课程管理规定（试行）》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1.成绩构成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成绩由平时成绩和卷面成绩构成。201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24"/>
                <w:szCs w:val="24"/>
              </w:rPr>
              <w:t>级及以后同学补（缓）考成绩由平时成绩和卷面成绩构成，补考和重修按实际成绩折算绩点，在相应成绩栏中做重修补考标记。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2.成绩绩点计算方法</w:t>
            </w:r>
          </w:p>
          <w:p>
            <w:pPr>
              <w:ind w:firstLine="746" w:firstLineChars="311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left="840" w:leftChars="4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学习成绩与绩点的折算方法如下：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1.成绩分数60-69对应学分绩点1.0-1.9；70-79对应学分绩点2.0-2.9；80-89对应学分绩点3.0-3.9；90-100对应学分绩点4.0-5.0；成绩60分以下对应绩点为0；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2.课程学分绩点=课程学分x学分绩点；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3.累计平均学分绩点=∑学分绩点/∑学分数。</w:t>
            </w:r>
          </w:p>
        </w:tc>
      </w:tr>
    </w:tbl>
    <w:p>
      <w:pPr>
        <w:ind w:firstLine="560" w:firstLineChars="200"/>
        <w:rPr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26"/>
    <w:rsid w:val="00004230"/>
    <w:rsid w:val="00005F38"/>
    <w:rsid w:val="00022616"/>
    <w:rsid w:val="000259F7"/>
    <w:rsid w:val="00025ED1"/>
    <w:rsid w:val="00026E0C"/>
    <w:rsid w:val="00032850"/>
    <w:rsid w:val="00041813"/>
    <w:rsid w:val="00043982"/>
    <w:rsid w:val="0004514E"/>
    <w:rsid w:val="0005049C"/>
    <w:rsid w:val="000646D9"/>
    <w:rsid w:val="00064F6D"/>
    <w:rsid w:val="0006647A"/>
    <w:rsid w:val="000706C9"/>
    <w:rsid w:val="00074108"/>
    <w:rsid w:val="00075ADF"/>
    <w:rsid w:val="00075F58"/>
    <w:rsid w:val="00090FD1"/>
    <w:rsid w:val="000917B8"/>
    <w:rsid w:val="000A5CB3"/>
    <w:rsid w:val="000A676C"/>
    <w:rsid w:val="000A7623"/>
    <w:rsid w:val="000A7EA1"/>
    <w:rsid w:val="000B137C"/>
    <w:rsid w:val="000B40FE"/>
    <w:rsid w:val="000C38F1"/>
    <w:rsid w:val="000C4680"/>
    <w:rsid w:val="000D0A3D"/>
    <w:rsid w:val="000D0E61"/>
    <w:rsid w:val="000D6E98"/>
    <w:rsid w:val="000D772D"/>
    <w:rsid w:val="000E7D9F"/>
    <w:rsid w:val="000F5A2E"/>
    <w:rsid w:val="00110754"/>
    <w:rsid w:val="00154D2C"/>
    <w:rsid w:val="0015503F"/>
    <w:rsid w:val="00156224"/>
    <w:rsid w:val="00161B79"/>
    <w:rsid w:val="001633B6"/>
    <w:rsid w:val="00172442"/>
    <w:rsid w:val="00173FFC"/>
    <w:rsid w:val="00174B8E"/>
    <w:rsid w:val="00176275"/>
    <w:rsid w:val="001818B4"/>
    <w:rsid w:val="001840D8"/>
    <w:rsid w:val="00184317"/>
    <w:rsid w:val="00184F67"/>
    <w:rsid w:val="0018689C"/>
    <w:rsid w:val="0019279D"/>
    <w:rsid w:val="001947E1"/>
    <w:rsid w:val="001B2280"/>
    <w:rsid w:val="001C0AFE"/>
    <w:rsid w:val="001C48F8"/>
    <w:rsid w:val="001C69F0"/>
    <w:rsid w:val="001E090C"/>
    <w:rsid w:val="001E0C7F"/>
    <w:rsid w:val="001E33CB"/>
    <w:rsid w:val="001E617C"/>
    <w:rsid w:val="001F5C03"/>
    <w:rsid w:val="002016F0"/>
    <w:rsid w:val="00206CD9"/>
    <w:rsid w:val="00214CA4"/>
    <w:rsid w:val="00215A7A"/>
    <w:rsid w:val="002253A0"/>
    <w:rsid w:val="00232368"/>
    <w:rsid w:val="0023435E"/>
    <w:rsid w:val="00240218"/>
    <w:rsid w:val="0024048D"/>
    <w:rsid w:val="002447E4"/>
    <w:rsid w:val="0025447F"/>
    <w:rsid w:val="0026051A"/>
    <w:rsid w:val="002662C7"/>
    <w:rsid w:val="0026672C"/>
    <w:rsid w:val="00266C57"/>
    <w:rsid w:val="00271488"/>
    <w:rsid w:val="00272CEC"/>
    <w:rsid w:val="0027781D"/>
    <w:rsid w:val="0028308A"/>
    <w:rsid w:val="00286603"/>
    <w:rsid w:val="00287DF7"/>
    <w:rsid w:val="00290E20"/>
    <w:rsid w:val="002929C4"/>
    <w:rsid w:val="00293115"/>
    <w:rsid w:val="002957E2"/>
    <w:rsid w:val="002A189F"/>
    <w:rsid w:val="002A272E"/>
    <w:rsid w:val="002A5AB9"/>
    <w:rsid w:val="002B1C29"/>
    <w:rsid w:val="002B34BB"/>
    <w:rsid w:val="002B545E"/>
    <w:rsid w:val="002B6422"/>
    <w:rsid w:val="002B73D8"/>
    <w:rsid w:val="002C399E"/>
    <w:rsid w:val="002C55FC"/>
    <w:rsid w:val="002D1413"/>
    <w:rsid w:val="002D50DE"/>
    <w:rsid w:val="002D6AD9"/>
    <w:rsid w:val="002E7A70"/>
    <w:rsid w:val="002F010F"/>
    <w:rsid w:val="002F5708"/>
    <w:rsid w:val="003002FB"/>
    <w:rsid w:val="00302FD0"/>
    <w:rsid w:val="00314DBA"/>
    <w:rsid w:val="0031507A"/>
    <w:rsid w:val="0031533A"/>
    <w:rsid w:val="003203BE"/>
    <w:rsid w:val="003230A5"/>
    <w:rsid w:val="003234FD"/>
    <w:rsid w:val="0034341D"/>
    <w:rsid w:val="00344526"/>
    <w:rsid w:val="00351450"/>
    <w:rsid w:val="003561F4"/>
    <w:rsid w:val="0036232F"/>
    <w:rsid w:val="0036398D"/>
    <w:rsid w:val="00371539"/>
    <w:rsid w:val="00374911"/>
    <w:rsid w:val="00376AEF"/>
    <w:rsid w:val="00396236"/>
    <w:rsid w:val="003A65EA"/>
    <w:rsid w:val="003B37D8"/>
    <w:rsid w:val="003D1E29"/>
    <w:rsid w:val="003E00E3"/>
    <w:rsid w:val="003E0B67"/>
    <w:rsid w:val="003E20C2"/>
    <w:rsid w:val="003F76B4"/>
    <w:rsid w:val="00403A8F"/>
    <w:rsid w:val="00406491"/>
    <w:rsid w:val="0041063B"/>
    <w:rsid w:val="0041650F"/>
    <w:rsid w:val="00416A5A"/>
    <w:rsid w:val="00425E4E"/>
    <w:rsid w:val="0043037C"/>
    <w:rsid w:val="00436752"/>
    <w:rsid w:val="004527FB"/>
    <w:rsid w:val="004529DD"/>
    <w:rsid w:val="004542F5"/>
    <w:rsid w:val="0046024B"/>
    <w:rsid w:val="004713C1"/>
    <w:rsid w:val="004728D2"/>
    <w:rsid w:val="00472B78"/>
    <w:rsid w:val="0047776E"/>
    <w:rsid w:val="00480A6F"/>
    <w:rsid w:val="00484F36"/>
    <w:rsid w:val="00487593"/>
    <w:rsid w:val="004916BE"/>
    <w:rsid w:val="004A0726"/>
    <w:rsid w:val="004A2B8F"/>
    <w:rsid w:val="004B6A76"/>
    <w:rsid w:val="004D01B1"/>
    <w:rsid w:val="004D7CE6"/>
    <w:rsid w:val="004E0B0B"/>
    <w:rsid w:val="004F0F95"/>
    <w:rsid w:val="004F335B"/>
    <w:rsid w:val="004F6F29"/>
    <w:rsid w:val="0050010A"/>
    <w:rsid w:val="005031BE"/>
    <w:rsid w:val="00522E5B"/>
    <w:rsid w:val="005232C7"/>
    <w:rsid w:val="0052447F"/>
    <w:rsid w:val="00524642"/>
    <w:rsid w:val="00524BE0"/>
    <w:rsid w:val="00534AD3"/>
    <w:rsid w:val="00541196"/>
    <w:rsid w:val="00545481"/>
    <w:rsid w:val="00547668"/>
    <w:rsid w:val="0055365E"/>
    <w:rsid w:val="00564D5E"/>
    <w:rsid w:val="00564D71"/>
    <w:rsid w:val="00567D65"/>
    <w:rsid w:val="005767B4"/>
    <w:rsid w:val="00583116"/>
    <w:rsid w:val="00586711"/>
    <w:rsid w:val="00595E37"/>
    <w:rsid w:val="005A0B5A"/>
    <w:rsid w:val="005B4F0F"/>
    <w:rsid w:val="005B5D44"/>
    <w:rsid w:val="005C4F65"/>
    <w:rsid w:val="005D0728"/>
    <w:rsid w:val="005D382E"/>
    <w:rsid w:val="005E39AC"/>
    <w:rsid w:val="005E5B98"/>
    <w:rsid w:val="006043D9"/>
    <w:rsid w:val="006051DF"/>
    <w:rsid w:val="00612B24"/>
    <w:rsid w:val="00616F78"/>
    <w:rsid w:val="00626D59"/>
    <w:rsid w:val="0062714C"/>
    <w:rsid w:val="006304C7"/>
    <w:rsid w:val="00636DF5"/>
    <w:rsid w:val="00637592"/>
    <w:rsid w:val="006416D9"/>
    <w:rsid w:val="006453C5"/>
    <w:rsid w:val="006536CE"/>
    <w:rsid w:val="00654395"/>
    <w:rsid w:val="00655E14"/>
    <w:rsid w:val="006642A6"/>
    <w:rsid w:val="006665EE"/>
    <w:rsid w:val="00667CDE"/>
    <w:rsid w:val="00683005"/>
    <w:rsid w:val="00687D4A"/>
    <w:rsid w:val="0069615B"/>
    <w:rsid w:val="006979F8"/>
    <w:rsid w:val="006A0CB4"/>
    <w:rsid w:val="006A1A36"/>
    <w:rsid w:val="006A30DF"/>
    <w:rsid w:val="006A4253"/>
    <w:rsid w:val="006B400D"/>
    <w:rsid w:val="006B526E"/>
    <w:rsid w:val="006C0372"/>
    <w:rsid w:val="006C1906"/>
    <w:rsid w:val="006C4318"/>
    <w:rsid w:val="006C5A02"/>
    <w:rsid w:val="006D2E93"/>
    <w:rsid w:val="006E0E01"/>
    <w:rsid w:val="006E1A29"/>
    <w:rsid w:val="006E56A4"/>
    <w:rsid w:val="006F6AF3"/>
    <w:rsid w:val="00702CDB"/>
    <w:rsid w:val="00713D2E"/>
    <w:rsid w:val="00714172"/>
    <w:rsid w:val="00715B25"/>
    <w:rsid w:val="00720619"/>
    <w:rsid w:val="00721127"/>
    <w:rsid w:val="00725072"/>
    <w:rsid w:val="00725D49"/>
    <w:rsid w:val="00731C40"/>
    <w:rsid w:val="00732AD2"/>
    <w:rsid w:val="0073785F"/>
    <w:rsid w:val="00740594"/>
    <w:rsid w:val="00745183"/>
    <w:rsid w:val="00772F74"/>
    <w:rsid w:val="007736C4"/>
    <w:rsid w:val="0077697F"/>
    <w:rsid w:val="00783595"/>
    <w:rsid w:val="00791903"/>
    <w:rsid w:val="007A0953"/>
    <w:rsid w:val="007A30D1"/>
    <w:rsid w:val="007A5081"/>
    <w:rsid w:val="007A6BCF"/>
    <w:rsid w:val="007A7DEC"/>
    <w:rsid w:val="007B4DCB"/>
    <w:rsid w:val="007C7612"/>
    <w:rsid w:val="007C7EC8"/>
    <w:rsid w:val="007D0A73"/>
    <w:rsid w:val="007D3A52"/>
    <w:rsid w:val="007D66F7"/>
    <w:rsid w:val="007D7BDD"/>
    <w:rsid w:val="007E6B86"/>
    <w:rsid w:val="007E6BB5"/>
    <w:rsid w:val="007F398F"/>
    <w:rsid w:val="007F63AE"/>
    <w:rsid w:val="007F7C6D"/>
    <w:rsid w:val="00810F5D"/>
    <w:rsid w:val="00823E20"/>
    <w:rsid w:val="00833807"/>
    <w:rsid w:val="00840ED7"/>
    <w:rsid w:val="008522B4"/>
    <w:rsid w:val="00864C07"/>
    <w:rsid w:val="00865635"/>
    <w:rsid w:val="00872CE1"/>
    <w:rsid w:val="0088206F"/>
    <w:rsid w:val="00884603"/>
    <w:rsid w:val="008874B8"/>
    <w:rsid w:val="00890B63"/>
    <w:rsid w:val="008933CD"/>
    <w:rsid w:val="008A1C49"/>
    <w:rsid w:val="008A5CC2"/>
    <w:rsid w:val="008A5E86"/>
    <w:rsid w:val="008A61F8"/>
    <w:rsid w:val="008C0331"/>
    <w:rsid w:val="008C218F"/>
    <w:rsid w:val="008C4415"/>
    <w:rsid w:val="008C5CDB"/>
    <w:rsid w:val="008C7EF9"/>
    <w:rsid w:val="008D2401"/>
    <w:rsid w:val="008D3153"/>
    <w:rsid w:val="008D60A1"/>
    <w:rsid w:val="008D649A"/>
    <w:rsid w:val="008D6BFF"/>
    <w:rsid w:val="008E1BD0"/>
    <w:rsid w:val="008E6411"/>
    <w:rsid w:val="008F580B"/>
    <w:rsid w:val="008F605A"/>
    <w:rsid w:val="00900699"/>
    <w:rsid w:val="00900732"/>
    <w:rsid w:val="00901941"/>
    <w:rsid w:val="0090377D"/>
    <w:rsid w:val="00903D8F"/>
    <w:rsid w:val="0091354C"/>
    <w:rsid w:val="00922BF0"/>
    <w:rsid w:val="00923A28"/>
    <w:rsid w:val="009269F1"/>
    <w:rsid w:val="009319BC"/>
    <w:rsid w:val="00933A80"/>
    <w:rsid w:val="00933E19"/>
    <w:rsid w:val="0094374B"/>
    <w:rsid w:val="0094558C"/>
    <w:rsid w:val="00947F42"/>
    <w:rsid w:val="009509A6"/>
    <w:rsid w:val="00953BAC"/>
    <w:rsid w:val="00954DF3"/>
    <w:rsid w:val="009610E9"/>
    <w:rsid w:val="0096540E"/>
    <w:rsid w:val="00965EF9"/>
    <w:rsid w:val="00971552"/>
    <w:rsid w:val="00972642"/>
    <w:rsid w:val="009749D4"/>
    <w:rsid w:val="00975D4E"/>
    <w:rsid w:val="00980131"/>
    <w:rsid w:val="009866F2"/>
    <w:rsid w:val="00995ABC"/>
    <w:rsid w:val="00996D43"/>
    <w:rsid w:val="00997AEB"/>
    <w:rsid w:val="009A3683"/>
    <w:rsid w:val="009A6769"/>
    <w:rsid w:val="009B0134"/>
    <w:rsid w:val="009B1341"/>
    <w:rsid w:val="009B2D9A"/>
    <w:rsid w:val="009B3E02"/>
    <w:rsid w:val="009B493F"/>
    <w:rsid w:val="009B7642"/>
    <w:rsid w:val="009C3A16"/>
    <w:rsid w:val="009C767B"/>
    <w:rsid w:val="009D3A06"/>
    <w:rsid w:val="009D48A0"/>
    <w:rsid w:val="009D62F1"/>
    <w:rsid w:val="009E400C"/>
    <w:rsid w:val="009E6935"/>
    <w:rsid w:val="009F5B6A"/>
    <w:rsid w:val="00A04118"/>
    <w:rsid w:val="00A051BF"/>
    <w:rsid w:val="00A121CB"/>
    <w:rsid w:val="00A13304"/>
    <w:rsid w:val="00A14D26"/>
    <w:rsid w:val="00A17D73"/>
    <w:rsid w:val="00A209A2"/>
    <w:rsid w:val="00A21D87"/>
    <w:rsid w:val="00A24AAF"/>
    <w:rsid w:val="00A25FB3"/>
    <w:rsid w:val="00A272F3"/>
    <w:rsid w:val="00A30BDC"/>
    <w:rsid w:val="00A32735"/>
    <w:rsid w:val="00A4472E"/>
    <w:rsid w:val="00A45ACE"/>
    <w:rsid w:val="00A55776"/>
    <w:rsid w:val="00A56F4A"/>
    <w:rsid w:val="00A57A27"/>
    <w:rsid w:val="00A64195"/>
    <w:rsid w:val="00A87438"/>
    <w:rsid w:val="00A87CAB"/>
    <w:rsid w:val="00A90926"/>
    <w:rsid w:val="00A94420"/>
    <w:rsid w:val="00A9581F"/>
    <w:rsid w:val="00A9635F"/>
    <w:rsid w:val="00AA098C"/>
    <w:rsid w:val="00AA5E77"/>
    <w:rsid w:val="00AB43FE"/>
    <w:rsid w:val="00AB508A"/>
    <w:rsid w:val="00AC2C58"/>
    <w:rsid w:val="00AD360E"/>
    <w:rsid w:val="00AD71E2"/>
    <w:rsid w:val="00AE446C"/>
    <w:rsid w:val="00AF54A4"/>
    <w:rsid w:val="00B17DFE"/>
    <w:rsid w:val="00B218D7"/>
    <w:rsid w:val="00B21C10"/>
    <w:rsid w:val="00B3305D"/>
    <w:rsid w:val="00B3463C"/>
    <w:rsid w:val="00B34AAF"/>
    <w:rsid w:val="00B52945"/>
    <w:rsid w:val="00B60E04"/>
    <w:rsid w:val="00B62867"/>
    <w:rsid w:val="00B6440A"/>
    <w:rsid w:val="00B64DD5"/>
    <w:rsid w:val="00B65618"/>
    <w:rsid w:val="00B70A0F"/>
    <w:rsid w:val="00B77404"/>
    <w:rsid w:val="00B9548F"/>
    <w:rsid w:val="00BB163F"/>
    <w:rsid w:val="00BB2D06"/>
    <w:rsid w:val="00BC221D"/>
    <w:rsid w:val="00BD7E9B"/>
    <w:rsid w:val="00BE0921"/>
    <w:rsid w:val="00BF0AC8"/>
    <w:rsid w:val="00C03C3D"/>
    <w:rsid w:val="00C074D1"/>
    <w:rsid w:val="00C107C8"/>
    <w:rsid w:val="00C123C3"/>
    <w:rsid w:val="00C15C73"/>
    <w:rsid w:val="00C17F92"/>
    <w:rsid w:val="00C205DB"/>
    <w:rsid w:val="00C22171"/>
    <w:rsid w:val="00C30D0D"/>
    <w:rsid w:val="00C405E7"/>
    <w:rsid w:val="00C41CCC"/>
    <w:rsid w:val="00C42FAC"/>
    <w:rsid w:val="00C4492F"/>
    <w:rsid w:val="00C522D4"/>
    <w:rsid w:val="00C52F16"/>
    <w:rsid w:val="00C601D2"/>
    <w:rsid w:val="00C7236C"/>
    <w:rsid w:val="00C74358"/>
    <w:rsid w:val="00C8484E"/>
    <w:rsid w:val="00CA5F26"/>
    <w:rsid w:val="00CB033C"/>
    <w:rsid w:val="00CB3FDD"/>
    <w:rsid w:val="00CB4DF1"/>
    <w:rsid w:val="00CB558F"/>
    <w:rsid w:val="00CC10A0"/>
    <w:rsid w:val="00CC20BC"/>
    <w:rsid w:val="00CC3228"/>
    <w:rsid w:val="00CD05C1"/>
    <w:rsid w:val="00CD312F"/>
    <w:rsid w:val="00CD3AFA"/>
    <w:rsid w:val="00CE2814"/>
    <w:rsid w:val="00CE3D9C"/>
    <w:rsid w:val="00CE55E1"/>
    <w:rsid w:val="00CF169B"/>
    <w:rsid w:val="00D00E86"/>
    <w:rsid w:val="00D01A5D"/>
    <w:rsid w:val="00D03E85"/>
    <w:rsid w:val="00D10291"/>
    <w:rsid w:val="00D143A2"/>
    <w:rsid w:val="00D155F5"/>
    <w:rsid w:val="00D2489D"/>
    <w:rsid w:val="00D34E2C"/>
    <w:rsid w:val="00D41390"/>
    <w:rsid w:val="00D4159B"/>
    <w:rsid w:val="00D43E3D"/>
    <w:rsid w:val="00D45945"/>
    <w:rsid w:val="00D70A38"/>
    <w:rsid w:val="00D80758"/>
    <w:rsid w:val="00D848DF"/>
    <w:rsid w:val="00D861DC"/>
    <w:rsid w:val="00D92963"/>
    <w:rsid w:val="00D976AD"/>
    <w:rsid w:val="00DA72AF"/>
    <w:rsid w:val="00DD065D"/>
    <w:rsid w:val="00DD68F2"/>
    <w:rsid w:val="00DE305B"/>
    <w:rsid w:val="00DE55DD"/>
    <w:rsid w:val="00DE76B8"/>
    <w:rsid w:val="00DF179D"/>
    <w:rsid w:val="00DF5BDA"/>
    <w:rsid w:val="00DF651C"/>
    <w:rsid w:val="00DF7405"/>
    <w:rsid w:val="00DF7A49"/>
    <w:rsid w:val="00DF7E2E"/>
    <w:rsid w:val="00E009E5"/>
    <w:rsid w:val="00E00C10"/>
    <w:rsid w:val="00E010BB"/>
    <w:rsid w:val="00E14E60"/>
    <w:rsid w:val="00E17DB9"/>
    <w:rsid w:val="00E20EE7"/>
    <w:rsid w:val="00E23D79"/>
    <w:rsid w:val="00E24E4D"/>
    <w:rsid w:val="00E302B8"/>
    <w:rsid w:val="00E405C5"/>
    <w:rsid w:val="00E4151A"/>
    <w:rsid w:val="00E43D09"/>
    <w:rsid w:val="00E4459D"/>
    <w:rsid w:val="00E4560F"/>
    <w:rsid w:val="00E4799F"/>
    <w:rsid w:val="00E63973"/>
    <w:rsid w:val="00E66C36"/>
    <w:rsid w:val="00E755D9"/>
    <w:rsid w:val="00E7572C"/>
    <w:rsid w:val="00E76AED"/>
    <w:rsid w:val="00E802A1"/>
    <w:rsid w:val="00E82CD5"/>
    <w:rsid w:val="00E930F7"/>
    <w:rsid w:val="00EA42E4"/>
    <w:rsid w:val="00EA68F0"/>
    <w:rsid w:val="00EB3763"/>
    <w:rsid w:val="00EB4267"/>
    <w:rsid w:val="00EC544B"/>
    <w:rsid w:val="00ED3F8F"/>
    <w:rsid w:val="00ED62C0"/>
    <w:rsid w:val="00ED6F18"/>
    <w:rsid w:val="00ED7531"/>
    <w:rsid w:val="00EE2282"/>
    <w:rsid w:val="00EE45CB"/>
    <w:rsid w:val="00EE7035"/>
    <w:rsid w:val="00EF4466"/>
    <w:rsid w:val="00F15517"/>
    <w:rsid w:val="00F25B02"/>
    <w:rsid w:val="00F4288F"/>
    <w:rsid w:val="00F56177"/>
    <w:rsid w:val="00F6024E"/>
    <w:rsid w:val="00F67134"/>
    <w:rsid w:val="00F8422B"/>
    <w:rsid w:val="00F84430"/>
    <w:rsid w:val="00F8619A"/>
    <w:rsid w:val="00F91D63"/>
    <w:rsid w:val="00F91F60"/>
    <w:rsid w:val="00F963E2"/>
    <w:rsid w:val="00FA32F7"/>
    <w:rsid w:val="00FA3F35"/>
    <w:rsid w:val="00FA3FB6"/>
    <w:rsid w:val="00FA4780"/>
    <w:rsid w:val="00FB019F"/>
    <w:rsid w:val="00FC0ED4"/>
    <w:rsid w:val="00FD105D"/>
    <w:rsid w:val="00FD431B"/>
    <w:rsid w:val="00FE21E6"/>
    <w:rsid w:val="00FE2341"/>
    <w:rsid w:val="00FE78EF"/>
    <w:rsid w:val="00FE7D6E"/>
    <w:rsid w:val="00FF421E"/>
    <w:rsid w:val="00FF6448"/>
    <w:rsid w:val="24F7689C"/>
    <w:rsid w:val="27041E05"/>
    <w:rsid w:val="4C392308"/>
    <w:rsid w:val="7875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6</Pages>
  <Words>601</Words>
  <Characters>3426</Characters>
  <Lines>28</Lines>
  <Paragraphs>8</Paragraphs>
  <TotalTime>22</TotalTime>
  <ScaleCrop>false</ScaleCrop>
  <LinksUpToDate>false</LinksUpToDate>
  <CharactersWithSpaces>4019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2016-12-07T00:34:00Z</dcterms:created>
  <dc:creator>王宇晖</dc:creator>
  <cp:lastModifiedBy>yan_布吉</cp:lastModifiedBy>
  <dcterms:modified xsi:type="dcterms:W3CDTF">2019-09-09T08:19:45Z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